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767" w:rsidRDefault="00D83767" w:rsidP="00D83767">
      <w:proofErr w:type="spellStart"/>
      <w:r>
        <w:t>Deyana</w:t>
      </w:r>
      <w:proofErr w:type="spellEnd"/>
      <w:r>
        <w:t xml:space="preserve"> Rudd posted May 20, 2026 12:49 AM</w:t>
      </w:r>
    </w:p>
    <w:p w:rsidR="00D83767" w:rsidRDefault="00D83767" w:rsidP="00D83767">
      <w:r>
        <w:t xml:space="preserve">This page automatically marks posts as read as you </w:t>
      </w:r>
      <w:proofErr w:type="spellStart"/>
      <w:proofErr w:type="gramStart"/>
      <w:r>
        <w:t>scroll.Adjust</w:t>
      </w:r>
      <w:proofErr w:type="spellEnd"/>
      <w:proofErr w:type="gramEnd"/>
      <w:r>
        <w:t xml:space="preserve"> automatic marking as read setting</w:t>
      </w:r>
    </w:p>
    <w:p w:rsidR="00D83767" w:rsidRDefault="00D83767" w:rsidP="00D83767">
      <w:r>
        <w:t xml:space="preserve">Whether to use accounting for equity securities should be done based on the company's actual intention, with the accounting standards, and not because of the need of smoothing earnings or influencing bonuses. If the securities are being actively traded as trading securities, then I don't think you'd want to reclassify the investments as that wouldn't get the job done. </w:t>
      </w:r>
      <w:proofErr w:type="gramStart"/>
      <w:r>
        <w:t>Typically</w:t>
      </w:r>
      <w:proofErr w:type="gramEnd"/>
      <w:r>
        <w:t xml:space="preserve"> a security will be bought and sold with the intention to make a profit in the near future, and any changes in value, not yet realized, will be included in the net income. Available-for-sale securities, on the other hand, are not held for trading in the short term and unrealized gains and losses are reported in other comprehensive income (OCI) rather than net income. Such a reclassification would only be motivated by the desire to smooth out earnings, not for the use of the securities as intended in the standards.</w:t>
      </w:r>
    </w:p>
    <w:p w:rsidR="00D83767" w:rsidRDefault="00D83767" w:rsidP="00D83767">
      <w:r>
        <w:t>The impact of equity securities on the classification of securities is significant both in terms of net income and the compensation based on earnings performance. Since the inherent gains and losses from the trading securities go through the income statement, my bonus as controller would be greater as the increased fair value was added to the current year's income. The unrealized gains would be added to OCI, which would not be included in net income, and thus not impact reported earnings totals or the profitability-based compensation. But do not make accounting decisions for personal gains. The investments should be labelled as such as per management's stated goal and actual management.</w:t>
      </w:r>
    </w:p>
    <w:p w:rsidR="00D83767" w:rsidRDefault="00D83767" w:rsidP="00D83767">
      <w:r>
        <w:t>There are some ethical issues about management's desire to reclassify investments to affect reported income or the amount of executive bonuses or fees. The way classifications are handled can create a perception on the part of stockholders and creditors of a smoother earning in the company than would otherwise be expected. It also causes a conflict of interest since income reported could be part of the incentive for management. Integrity, objectivity and transparency are principles of ethical accounting. Making changes to the classifications that would cause it to not be classified as what is stated in the table would not benefit investors and might be subjected to regulatory review (</w:t>
      </w:r>
      <w:proofErr w:type="spellStart"/>
      <w:r>
        <w:t>Thobjorn</w:t>
      </w:r>
      <w:proofErr w:type="spellEnd"/>
      <w:r>
        <w:t>, 2023).</w:t>
      </w:r>
    </w:p>
    <w:p w:rsidR="00D83767" w:rsidRDefault="00D83767" w:rsidP="00D83767">
      <w:r>
        <w:t>In case pressured by the CFO to approve, I will explain that in accordance with accounting principles, investments would only be classified based on what their intended use is and how they are managed. I would suggest that the reason for the classification should be described and if needed, double checked with the company's auditors. It's all about the honesty and financial honesty, not about stability of the earnings or about conserving bonuses. In my capacity as controller, I have a professional obligation to make the financial statements fair in portraying the business's financial position and results of operations. A key concept in investment accounting is the connection between change in fair value and reporting:</w:t>
      </w:r>
    </w:p>
    <w:p w:rsidR="00D83767" w:rsidRDefault="00D83767" w:rsidP="00D83767">
      <w:r>
        <w:t>Net Income Impact=Realized Gains/</w:t>
      </w:r>
      <w:proofErr w:type="spellStart"/>
      <w:r>
        <w:t>Losses+Unrealized</w:t>
      </w:r>
      <w:proofErr w:type="spellEnd"/>
      <w:r>
        <w:t xml:space="preserve"> Gains/Losses on Trading Securities</w:t>
      </w:r>
    </w:p>
    <w:p w:rsidR="00D83767" w:rsidRDefault="00D83767" w:rsidP="00D83767">
      <w:r>
        <w:t>Reference</w:t>
      </w:r>
    </w:p>
    <w:p w:rsidR="00C83994" w:rsidRDefault="00D83767" w:rsidP="00D83767">
      <w:proofErr w:type="spellStart"/>
      <w:r>
        <w:t>Thobjorn</w:t>
      </w:r>
      <w:proofErr w:type="spellEnd"/>
      <w:r>
        <w:t xml:space="preserve">, J. P. (2023, June 19). Ethical Considerations in Accounting: Exploring Integrity and Transparency in Financial Practices. Medium. </w:t>
      </w:r>
      <w:hyperlink r:id="rId4" w:history="1">
        <w:r w:rsidRPr="000C25D2">
          <w:rPr>
            <w:rStyle w:val="Hyperlink"/>
          </w:rPr>
          <w:t>https://medium.com/@johnpaulthorbjornoslo/ethical-considerations-in-accounting-exploring-integrity-and-transparency-in-financial-practices-d760c7612a48</w:t>
        </w:r>
      </w:hyperlink>
    </w:p>
    <w:p w:rsidR="00D83767" w:rsidRDefault="00D83767" w:rsidP="00D83767"/>
    <w:p w:rsidR="00D83767" w:rsidRDefault="00D83767" w:rsidP="00D83767">
      <w:r>
        <w:lastRenderedPageBreak/>
        <w:t xml:space="preserve">Bill </w:t>
      </w:r>
      <w:proofErr w:type="spellStart"/>
      <w:r>
        <w:t>Lawlor</w:t>
      </w:r>
      <w:proofErr w:type="spellEnd"/>
      <w:r>
        <w:t xml:space="preserve"> posted May 19, 2026 3:54 PM</w:t>
      </w:r>
    </w:p>
    <w:p w:rsidR="00D83767" w:rsidRDefault="00D83767" w:rsidP="00D83767">
      <w:r>
        <w:t xml:space="preserve">This page automatically marks posts as read as you </w:t>
      </w:r>
      <w:proofErr w:type="spellStart"/>
      <w:proofErr w:type="gramStart"/>
      <w:r>
        <w:t>scroll.Adjust</w:t>
      </w:r>
      <w:proofErr w:type="spellEnd"/>
      <w:proofErr w:type="gramEnd"/>
      <w:r>
        <w:t xml:space="preserve"> automatic marking as read setting</w:t>
      </w:r>
    </w:p>
    <w:p w:rsidR="00D83767" w:rsidRDefault="00D83767" w:rsidP="00D83767">
      <w:r>
        <w:t>I disagree with the CFO’s suggestion to reclassify investments to make earnings appear more stable. Independent of different accounting methods, there is really only one correct way to enter an accounting transaction on the balance sheet. Accounting rules should simply not be changed to just be the base case scenario. Accounting rules should be followed strictly to ensure that unrealized gains and losses are accurate. When reporting equity securities, it is required not to change classifications maliciously.</w:t>
      </w:r>
    </w:p>
    <w:p w:rsidR="00D83767" w:rsidRDefault="00D83767" w:rsidP="00D83767">
      <w:r>
        <w:t>The classification of equity securities will either positively or negatively affect net income. According to businessjournal.org, controllers or managers "often earn bonuses based on earnings and are expected to attain certain levels of earnings by security analysts, banks, creditors, customers, and equity investors." (</w:t>
      </w:r>
      <w:proofErr w:type="spellStart"/>
      <w:r>
        <w:t>Orpurt</w:t>
      </w:r>
      <w:proofErr w:type="spellEnd"/>
      <w:r>
        <w:t>, 2016). This is why it's important to classify trading securities on intent rather than on what will increase their net income the most. It is important not to create a conflict of interest between accurate accounting reporting and a high net income.</w:t>
      </w:r>
    </w:p>
    <w:p w:rsidR="00D83767" w:rsidRDefault="00D83767" w:rsidP="00D83767">
      <w:r>
        <w:t>The main ethical issue is that the reclassification is being proposed to manipulate earnings rather than to accurately report investments. Shareholders and the IRS could be potentially misled into thinking a company's financial situation is better than it really is. This can lead to misleading investors or even collapsing companies as a whole. A notable example is the 2002 collapse of WorldCom after it misclassified operating expenses as capital assets. As International Banker (2021) explains, “The reclassifications gave WorldCom an additional $3.85 billion,” making it appear that the company had generated $1.38 billion in profits despite actually having losses.</w:t>
      </w:r>
    </w:p>
    <w:p w:rsidR="00D83767" w:rsidRDefault="00D83767" w:rsidP="00D83767">
      <w:bookmarkStart w:id="0" w:name="_GoBack"/>
      <w:bookmarkEnd w:id="0"/>
      <w:r>
        <w:t>If the CFO pressured me to approve the change, depending on the situation, I would try my best to deny it, as I wouldn't want to falsely report accounting data to my company and the government. Not only does this hurt our taxes, but it also can potentially mislead investors into either buying or selling our stock.</w:t>
      </w:r>
    </w:p>
    <w:p w:rsidR="00D83767" w:rsidRDefault="00D83767" w:rsidP="00D83767"/>
    <w:p w:rsidR="00D83767" w:rsidRDefault="00D83767" w:rsidP="00D83767">
      <w:proofErr w:type="spellStart"/>
      <w:r>
        <w:t>Refrences</w:t>
      </w:r>
      <w:proofErr w:type="spellEnd"/>
    </w:p>
    <w:p w:rsidR="00D83767" w:rsidRDefault="00D83767" w:rsidP="00D83767"/>
    <w:p w:rsidR="00D83767" w:rsidRDefault="00D83767" w:rsidP="00D83767">
      <w:r>
        <w:t>International Banker. (2021, September 29). The WorldCom scandal (2002). https://internationalbanker.com/history-of-financial-crises/the-worldcom-scandal-2002/</w:t>
      </w:r>
    </w:p>
    <w:p w:rsidR="00D83767" w:rsidRDefault="00D83767" w:rsidP="00D83767"/>
    <w:p w:rsidR="00D83767" w:rsidRDefault="00D83767" w:rsidP="00D83767">
      <w:r>
        <w:t>Davis, A. (2016, August 29). Investment in equity securities. Business Journalism. https://businessjournalism.org/2016/08/investment-equity-securities/</w:t>
      </w:r>
    </w:p>
    <w:sectPr w:rsidR="00D83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767"/>
    <w:rsid w:val="00C83994"/>
    <w:rsid w:val="00D83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349A5"/>
  <w15:chartTrackingRefBased/>
  <w15:docId w15:val="{ED4FC03F-EAF0-4435-A8D0-F1A7551F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37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83004">
      <w:bodyDiv w:val="1"/>
      <w:marLeft w:val="0"/>
      <w:marRight w:val="0"/>
      <w:marTop w:val="0"/>
      <w:marBottom w:val="0"/>
      <w:divBdr>
        <w:top w:val="none" w:sz="0" w:space="0" w:color="auto"/>
        <w:left w:val="none" w:sz="0" w:space="0" w:color="auto"/>
        <w:bottom w:val="none" w:sz="0" w:space="0" w:color="auto"/>
        <w:right w:val="none" w:sz="0" w:space="0" w:color="auto"/>
      </w:divBdr>
      <w:divsChild>
        <w:div w:id="668750502">
          <w:marLeft w:val="0"/>
          <w:marRight w:val="0"/>
          <w:marTop w:val="0"/>
          <w:marBottom w:val="0"/>
          <w:divBdr>
            <w:top w:val="none" w:sz="0" w:space="0" w:color="auto"/>
            <w:left w:val="none" w:sz="0" w:space="0" w:color="auto"/>
            <w:bottom w:val="none" w:sz="0" w:space="0" w:color="auto"/>
            <w:right w:val="none" w:sz="0" w:space="0" w:color="auto"/>
          </w:divBdr>
          <w:divsChild>
            <w:div w:id="965157161">
              <w:marLeft w:val="0"/>
              <w:marRight w:val="0"/>
              <w:marTop w:val="0"/>
              <w:marBottom w:val="0"/>
              <w:divBdr>
                <w:top w:val="none" w:sz="0" w:space="0" w:color="auto"/>
                <w:left w:val="none" w:sz="0" w:space="0" w:color="auto"/>
                <w:bottom w:val="none" w:sz="0" w:space="0" w:color="auto"/>
                <w:right w:val="none" w:sz="0" w:space="0" w:color="auto"/>
              </w:divBdr>
              <w:divsChild>
                <w:div w:id="1833981773">
                  <w:marLeft w:val="0"/>
                  <w:marRight w:val="0"/>
                  <w:marTop w:val="0"/>
                  <w:marBottom w:val="0"/>
                  <w:divBdr>
                    <w:top w:val="none" w:sz="0" w:space="0" w:color="auto"/>
                    <w:left w:val="none" w:sz="0" w:space="0" w:color="auto"/>
                    <w:bottom w:val="none" w:sz="0" w:space="0" w:color="auto"/>
                    <w:right w:val="none" w:sz="0" w:space="0" w:color="auto"/>
                  </w:divBdr>
                  <w:divsChild>
                    <w:div w:id="42678959">
                      <w:marLeft w:val="0"/>
                      <w:marRight w:val="0"/>
                      <w:marTop w:val="0"/>
                      <w:marBottom w:val="0"/>
                      <w:divBdr>
                        <w:top w:val="none" w:sz="0" w:space="0" w:color="auto"/>
                        <w:left w:val="none" w:sz="0" w:space="0" w:color="auto"/>
                        <w:bottom w:val="none" w:sz="0" w:space="0" w:color="auto"/>
                        <w:right w:val="none" w:sz="0" w:space="0" w:color="auto"/>
                      </w:divBdr>
                      <w:divsChild>
                        <w:div w:id="209119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66291">
          <w:marLeft w:val="0"/>
          <w:marRight w:val="0"/>
          <w:marTop w:val="0"/>
          <w:marBottom w:val="0"/>
          <w:divBdr>
            <w:top w:val="none" w:sz="0" w:space="0" w:color="auto"/>
            <w:left w:val="none" w:sz="0" w:space="0" w:color="auto"/>
            <w:bottom w:val="none" w:sz="0" w:space="0" w:color="auto"/>
            <w:right w:val="none" w:sz="0" w:space="0" w:color="auto"/>
          </w:divBdr>
        </w:div>
        <w:div w:id="852231524">
          <w:marLeft w:val="0"/>
          <w:marRight w:val="0"/>
          <w:marTop w:val="0"/>
          <w:marBottom w:val="0"/>
          <w:divBdr>
            <w:top w:val="none" w:sz="0" w:space="0" w:color="auto"/>
            <w:left w:val="none" w:sz="0" w:space="0" w:color="auto"/>
            <w:bottom w:val="none" w:sz="0" w:space="0" w:color="auto"/>
            <w:right w:val="none" w:sz="0" w:space="0" w:color="auto"/>
          </w:divBdr>
          <w:divsChild>
            <w:div w:id="169682938">
              <w:marLeft w:val="0"/>
              <w:marRight w:val="0"/>
              <w:marTop w:val="0"/>
              <w:marBottom w:val="0"/>
              <w:divBdr>
                <w:top w:val="none" w:sz="0" w:space="0" w:color="auto"/>
                <w:left w:val="none" w:sz="0" w:space="0" w:color="auto"/>
                <w:bottom w:val="none" w:sz="0" w:space="0" w:color="auto"/>
                <w:right w:val="none" w:sz="0" w:space="0" w:color="auto"/>
              </w:divBdr>
              <w:divsChild>
                <w:div w:id="168139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9916">
      <w:bodyDiv w:val="1"/>
      <w:marLeft w:val="0"/>
      <w:marRight w:val="0"/>
      <w:marTop w:val="0"/>
      <w:marBottom w:val="0"/>
      <w:divBdr>
        <w:top w:val="none" w:sz="0" w:space="0" w:color="auto"/>
        <w:left w:val="none" w:sz="0" w:space="0" w:color="auto"/>
        <w:bottom w:val="none" w:sz="0" w:space="0" w:color="auto"/>
        <w:right w:val="none" w:sz="0" w:space="0" w:color="auto"/>
      </w:divBdr>
      <w:divsChild>
        <w:div w:id="155415650">
          <w:marLeft w:val="0"/>
          <w:marRight w:val="0"/>
          <w:marTop w:val="0"/>
          <w:marBottom w:val="0"/>
          <w:divBdr>
            <w:top w:val="none" w:sz="0" w:space="0" w:color="auto"/>
            <w:left w:val="none" w:sz="0" w:space="0" w:color="auto"/>
            <w:bottom w:val="none" w:sz="0" w:space="0" w:color="auto"/>
            <w:right w:val="none" w:sz="0" w:space="0" w:color="auto"/>
          </w:divBdr>
          <w:divsChild>
            <w:div w:id="1650279659">
              <w:marLeft w:val="0"/>
              <w:marRight w:val="0"/>
              <w:marTop w:val="0"/>
              <w:marBottom w:val="0"/>
              <w:divBdr>
                <w:top w:val="none" w:sz="0" w:space="0" w:color="auto"/>
                <w:left w:val="none" w:sz="0" w:space="0" w:color="auto"/>
                <w:bottom w:val="none" w:sz="0" w:space="0" w:color="auto"/>
                <w:right w:val="none" w:sz="0" w:space="0" w:color="auto"/>
              </w:divBdr>
              <w:divsChild>
                <w:div w:id="1939024268">
                  <w:marLeft w:val="0"/>
                  <w:marRight w:val="0"/>
                  <w:marTop w:val="0"/>
                  <w:marBottom w:val="0"/>
                  <w:divBdr>
                    <w:top w:val="none" w:sz="0" w:space="0" w:color="auto"/>
                    <w:left w:val="none" w:sz="0" w:space="0" w:color="auto"/>
                    <w:bottom w:val="none" w:sz="0" w:space="0" w:color="auto"/>
                    <w:right w:val="none" w:sz="0" w:space="0" w:color="auto"/>
                  </w:divBdr>
                  <w:divsChild>
                    <w:div w:id="595595074">
                      <w:marLeft w:val="0"/>
                      <w:marRight w:val="0"/>
                      <w:marTop w:val="0"/>
                      <w:marBottom w:val="0"/>
                      <w:divBdr>
                        <w:top w:val="none" w:sz="0" w:space="0" w:color="auto"/>
                        <w:left w:val="none" w:sz="0" w:space="0" w:color="auto"/>
                        <w:bottom w:val="none" w:sz="0" w:space="0" w:color="auto"/>
                        <w:right w:val="none" w:sz="0" w:space="0" w:color="auto"/>
                      </w:divBdr>
                      <w:divsChild>
                        <w:div w:id="4007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423893">
          <w:marLeft w:val="0"/>
          <w:marRight w:val="0"/>
          <w:marTop w:val="0"/>
          <w:marBottom w:val="0"/>
          <w:divBdr>
            <w:top w:val="none" w:sz="0" w:space="0" w:color="auto"/>
            <w:left w:val="none" w:sz="0" w:space="0" w:color="auto"/>
            <w:bottom w:val="none" w:sz="0" w:space="0" w:color="auto"/>
            <w:right w:val="none" w:sz="0" w:space="0" w:color="auto"/>
          </w:divBdr>
        </w:div>
        <w:div w:id="884371526">
          <w:marLeft w:val="0"/>
          <w:marRight w:val="0"/>
          <w:marTop w:val="0"/>
          <w:marBottom w:val="0"/>
          <w:divBdr>
            <w:top w:val="none" w:sz="0" w:space="0" w:color="auto"/>
            <w:left w:val="none" w:sz="0" w:space="0" w:color="auto"/>
            <w:bottom w:val="none" w:sz="0" w:space="0" w:color="auto"/>
            <w:right w:val="none" w:sz="0" w:space="0" w:color="auto"/>
          </w:divBdr>
          <w:divsChild>
            <w:div w:id="1976719601">
              <w:marLeft w:val="0"/>
              <w:marRight w:val="0"/>
              <w:marTop w:val="0"/>
              <w:marBottom w:val="0"/>
              <w:divBdr>
                <w:top w:val="none" w:sz="0" w:space="0" w:color="auto"/>
                <w:left w:val="none" w:sz="0" w:space="0" w:color="auto"/>
                <w:bottom w:val="none" w:sz="0" w:space="0" w:color="auto"/>
                <w:right w:val="none" w:sz="0" w:space="0" w:color="auto"/>
              </w:divBdr>
              <w:divsChild>
                <w:div w:id="209998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dium.com/@johnpaulthorbjornoslo/ethical-considerations-in-accounting-exploring-integrity-and-transparency-in-financial-practices-d760c7612a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936</Words>
  <Characters>5339</Characters>
  <Application>Microsoft Office Word</Application>
  <DocSecurity>0</DocSecurity>
  <Lines>44</Lines>
  <Paragraphs>12</Paragraphs>
  <ScaleCrop>false</ScaleCrop>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2026-05-20T11:12:00Z</dcterms:created>
  <dcterms:modified xsi:type="dcterms:W3CDTF">2026-05-20T11:38:00Z</dcterms:modified>
</cp:coreProperties>
</file>